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49C78" w14:textId="258CE0DF" w:rsidR="00C70A8F" w:rsidRDefault="00C70A8F" w:rsidP="00C70A8F">
      <w:pPr>
        <w:spacing w:before="76" w:line="274" w:lineRule="exact"/>
        <w:ind w:left="220"/>
        <w:rPr>
          <w:b/>
          <w:sz w:val="24"/>
        </w:rPr>
      </w:pPr>
      <w:r>
        <w:rPr>
          <w:b/>
          <w:sz w:val="24"/>
        </w:rPr>
        <w:t>Critical Control Points Checklist for</w:t>
      </w:r>
      <w:r>
        <w:rPr>
          <w:b/>
          <w:sz w:val="24"/>
        </w:rPr>
        <w:t xml:space="preserve"> Purchasing Cards</w:t>
      </w:r>
    </w:p>
    <w:p w14:paraId="48034F3B" w14:textId="77777777" w:rsidR="00C70A8F" w:rsidRDefault="00C70A8F" w:rsidP="00C70A8F">
      <w:pPr>
        <w:pStyle w:val="BodyText"/>
        <w:spacing w:line="274" w:lineRule="exact"/>
        <w:ind w:left="220"/>
      </w:pPr>
      <w:r>
        <w:t>Place a check mark in the first column or NA if not applicable.</w:t>
      </w:r>
    </w:p>
    <w:p w14:paraId="420367A5" w14:textId="77777777" w:rsidR="00C70A8F" w:rsidRDefault="00C70A8F" w:rsidP="00C70A8F">
      <w:pPr>
        <w:pStyle w:val="BodyText"/>
        <w:spacing w:before="8" w:after="1"/>
      </w:pPr>
    </w:p>
    <w:tbl>
      <w:tblPr>
        <w:tblpPr w:leftFromText="180" w:rightFromText="180" w:vertAnchor="text" w:tblpY="1"/>
        <w:tblOverlap w:val="never"/>
        <w:tblW w:w="92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8837"/>
      </w:tblGrid>
      <w:tr w:rsidR="00A325FD" w:rsidRPr="00A325FD" w14:paraId="7C834FB9" w14:textId="77777777" w:rsidTr="00C70A8F">
        <w:trPr>
          <w:trHeight w:val="275"/>
        </w:trPr>
        <w:tc>
          <w:tcPr>
            <w:tcW w:w="406" w:type="dxa"/>
          </w:tcPr>
          <w:p w14:paraId="54FB9143" w14:textId="77777777" w:rsidR="00A325FD" w:rsidRPr="00A325FD" w:rsidRDefault="00A325FD" w:rsidP="00C70A8F">
            <w:pPr>
              <w:pStyle w:val="TableParagraph"/>
              <w:ind w:left="0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8837" w:type="dxa"/>
          </w:tcPr>
          <w:p w14:paraId="52009C91" w14:textId="70A3F169" w:rsidR="00A325FD" w:rsidRPr="00A325FD" w:rsidRDefault="00A325FD" w:rsidP="00C70A8F">
            <w:pPr>
              <w:pStyle w:val="TableParagraph"/>
              <w:spacing w:line="256" w:lineRule="exact"/>
              <w:rPr>
                <w:sz w:val="24"/>
              </w:rPr>
            </w:pPr>
            <w:r w:rsidRPr="00A325FD">
              <w:rPr>
                <w:sz w:val="24"/>
              </w:rPr>
              <w:t xml:space="preserve">P-Cards are only used by the cardholder and card numbers are not shared. </w:t>
            </w:r>
          </w:p>
        </w:tc>
      </w:tr>
      <w:tr w:rsidR="002C3D55" w14:paraId="043EBC71" w14:textId="77777777" w:rsidTr="00C70A8F">
        <w:trPr>
          <w:trHeight w:val="827"/>
        </w:trPr>
        <w:tc>
          <w:tcPr>
            <w:tcW w:w="406" w:type="dxa"/>
          </w:tcPr>
          <w:p w14:paraId="5DAB6C7B" w14:textId="77777777" w:rsidR="002C3D55" w:rsidRDefault="002C3D55" w:rsidP="00C70A8F">
            <w:pPr>
              <w:pStyle w:val="TableParagraph"/>
              <w:ind w:left="0"/>
            </w:pPr>
          </w:p>
        </w:tc>
        <w:tc>
          <w:tcPr>
            <w:tcW w:w="8837" w:type="dxa"/>
          </w:tcPr>
          <w:p w14:paraId="3BFD7533" w14:textId="2BF95EA0" w:rsidR="002C3D55" w:rsidRDefault="003B4D65" w:rsidP="00C70A8F">
            <w:pPr>
              <w:pStyle w:val="TableParagraph"/>
            </w:pPr>
            <w:r>
              <w:t xml:space="preserve">Purchases made on the card should be authorized as </w:t>
            </w:r>
            <w:r w:rsidR="00A325FD">
              <w:t xml:space="preserve">made. Follow your normal department procedure for obtaining authorization. </w:t>
            </w:r>
          </w:p>
        </w:tc>
      </w:tr>
      <w:tr w:rsidR="00A325FD" w14:paraId="2CBE3A15" w14:textId="77777777" w:rsidTr="00C70A8F">
        <w:trPr>
          <w:trHeight w:val="299"/>
        </w:trPr>
        <w:tc>
          <w:tcPr>
            <w:tcW w:w="406" w:type="dxa"/>
          </w:tcPr>
          <w:p w14:paraId="57C86E53" w14:textId="77777777" w:rsidR="00A325FD" w:rsidRDefault="00A325FD" w:rsidP="00C70A8F">
            <w:pPr>
              <w:pStyle w:val="TableParagraph"/>
              <w:ind w:left="0"/>
            </w:pPr>
          </w:p>
        </w:tc>
        <w:tc>
          <w:tcPr>
            <w:tcW w:w="8837" w:type="dxa"/>
          </w:tcPr>
          <w:p w14:paraId="3F3D4649" w14:textId="5E9CC2C7" w:rsidR="00A325FD" w:rsidRDefault="00A325FD" w:rsidP="00C70A8F">
            <w:pPr>
              <w:pStyle w:val="TableParagraph"/>
            </w:pPr>
            <w:r>
              <w:t xml:space="preserve">Gift card are NOT purchased on the p-card. </w:t>
            </w:r>
          </w:p>
        </w:tc>
      </w:tr>
      <w:tr w:rsidR="00A325FD" w14:paraId="33F623E5" w14:textId="77777777" w:rsidTr="00C70A8F">
        <w:trPr>
          <w:trHeight w:val="299"/>
        </w:trPr>
        <w:tc>
          <w:tcPr>
            <w:tcW w:w="406" w:type="dxa"/>
          </w:tcPr>
          <w:p w14:paraId="10FE38B5" w14:textId="77777777" w:rsidR="00A325FD" w:rsidRDefault="00A325FD" w:rsidP="00C70A8F">
            <w:pPr>
              <w:pStyle w:val="TableParagraph"/>
              <w:ind w:left="0"/>
            </w:pPr>
          </w:p>
        </w:tc>
        <w:tc>
          <w:tcPr>
            <w:tcW w:w="8837" w:type="dxa"/>
          </w:tcPr>
          <w:p w14:paraId="03D24037" w14:textId="4986F3E0" w:rsidR="00A325FD" w:rsidRDefault="00A325FD" w:rsidP="00C70A8F">
            <w:pPr>
              <w:pStyle w:val="TableParagraph"/>
            </w:pPr>
            <w:r>
              <w:t xml:space="preserve">Prior to purchasing, ensure the item to be purchased complies with State and University restrictions. Total purchase amount must be below $5,000 including shipping, postage, freight, etc. </w:t>
            </w:r>
          </w:p>
        </w:tc>
      </w:tr>
      <w:tr w:rsidR="00A325FD" w14:paraId="033FF695" w14:textId="77777777" w:rsidTr="00C70A8F">
        <w:trPr>
          <w:trHeight w:val="299"/>
        </w:trPr>
        <w:tc>
          <w:tcPr>
            <w:tcW w:w="406" w:type="dxa"/>
          </w:tcPr>
          <w:p w14:paraId="4B7E5D36" w14:textId="77777777" w:rsidR="00A325FD" w:rsidRDefault="00A325FD" w:rsidP="00C70A8F">
            <w:pPr>
              <w:pStyle w:val="TableParagraph"/>
              <w:ind w:left="0"/>
            </w:pPr>
          </w:p>
        </w:tc>
        <w:tc>
          <w:tcPr>
            <w:tcW w:w="8837" w:type="dxa"/>
          </w:tcPr>
          <w:p w14:paraId="49CAC6F8" w14:textId="6C22239A" w:rsidR="00A325FD" w:rsidRDefault="00A325FD" w:rsidP="00C70A8F">
            <w:pPr>
              <w:pStyle w:val="TableParagraph"/>
            </w:pPr>
            <w:r>
              <w:t xml:space="preserve">Purchases are not split (by one cardholder or between multiple cardholders) to avoid per transaction or monthly limits. </w:t>
            </w:r>
          </w:p>
        </w:tc>
      </w:tr>
      <w:tr w:rsidR="00A325FD" w14:paraId="1F5CCB1C" w14:textId="77777777" w:rsidTr="00C70A8F">
        <w:trPr>
          <w:trHeight w:val="299"/>
        </w:trPr>
        <w:tc>
          <w:tcPr>
            <w:tcW w:w="406" w:type="dxa"/>
          </w:tcPr>
          <w:p w14:paraId="023420E8" w14:textId="77777777" w:rsidR="00A325FD" w:rsidRDefault="00A325FD" w:rsidP="00C70A8F">
            <w:pPr>
              <w:pStyle w:val="TableParagraph"/>
              <w:ind w:left="0"/>
            </w:pPr>
          </w:p>
        </w:tc>
        <w:tc>
          <w:tcPr>
            <w:tcW w:w="8837" w:type="dxa"/>
          </w:tcPr>
          <w:p w14:paraId="24DF235F" w14:textId="51155EC4" w:rsidR="00A325FD" w:rsidRDefault="00A325FD" w:rsidP="00C70A8F">
            <w:pPr>
              <w:pStyle w:val="TableParagraph"/>
            </w:pPr>
            <w:r>
              <w:t xml:space="preserve">Vendors are advised that the University is tax exempt. </w:t>
            </w:r>
          </w:p>
        </w:tc>
      </w:tr>
      <w:tr w:rsidR="002C3D55" w14:paraId="0D39DE85" w14:textId="77777777" w:rsidTr="00C70A8F">
        <w:trPr>
          <w:trHeight w:val="551"/>
        </w:trPr>
        <w:tc>
          <w:tcPr>
            <w:tcW w:w="406" w:type="dxa"/>
          </w:tcPr>
          <w:p w14:paraId="6A05A809" w14:textId="77777777" w:rsidR="002C3D55" w:rsidRDefault="002C3D55" w:rsidP="00C70A8F">
            <w:pPr>
              <w:pStyle w:val="TableParagraph"/>
              <w:ind w:left="0"/>
            </w:pPr>
          </w:p>
        </w:tc>
        <w:tc>
          <w:tcPr>
            <w:tcW w:w="8837" w:type="dxa"/>
          </w:tcPr>
          <w:p w14:paraId="54216821" w14:textId="77777777" w:rsidR="002C3D55" w:rsidRDefault="003B4D65" w:rsidP="00C70A8F">
            <w:pPr>
              <w:pStyle w:val="TableParagraph"/>
              <w:spacing w:before="4" w:line="264" w:lineRule="exact"/>
              <w:ind w:right="1098"/>
            </w:pPr>
            <w:r>
              <w:t>The transaction log should be properly completed by the cardholder as purchases are made.</w:t>
            </w:r>
          </w:p>
        </w:tc>
      </w:tr>
      <w:tr w:rsidR="00A325FD" w14:paraId="2973913E" w14:textId="77777777" w:rsidTr="00C70A8F">
        <w:trPr>
          <w:trHeight w:val="551"/>
        </w:trPr>
        <w:tc>
          <w:tcPr>
            <w:tcW w:w="406" w:type="dxa"/>
          </w:tcPr>
          <w:p w14:paraId="1010D275" w14:textId="77777777" w:rsidR="00A325FD" w:rsidRDefault="00A325FD" w:rsidP="00C70A8F">
            <w:pPr>
              <w:pStyle w:val="TableParagraph"/>
              <w:ind w:left="0"/>
            </w:pPr>
          </w:p>
        </w:tc>
        <w:tc>
          <w:tcPr>
            <w:tcW w:w="8837" w:type="dxa"/>
          </w:tcPr>
          <w:p w14:paraId="70668E72" w14:textId="56136433" w:rsidR="00A325FD" w:rsidRDefault="00A325FD" w:rsidP="00C70A8F">
            <w:pPr>
              <w:pStyle w:val="TableParagraph"/>
              <w:spacing w:before="4" w:line="264" w:lineRule="exact"/>
              <w:ind w:right="1098"/>
            </w:pPr>
            <w:r>
              <w:t xml:space="preserve">A detailed receipt and/or packing slip is obtained for each purchase and maintained with the log. The receipt must identify what was purchased, the cost, that it was paid using the </w:t>
            </w:r>
            <w:proofErr w:type="spellStart"/>
            <w:r>
              <w:t>pcard</w:t>
            </w:r>
            <w:proofErr w:type="spellEnd"/>
            <w:r>
              <w:t xml:space="preserve">, and it was delivered (if applicable) to UMBC. If the receipt does not provide this detail, the cardholder must include the invoice as well. </w:t>
            </w:r>
          </w:p>
        </w:tc>
      </w:tr>
      <w:tr w:rsidR="00A325FD" w14:paraId="09291451" w14:textId="77777777" w:rsidTr="00C70A8F">
        <w:trPr>
          <w:trHeight w:val="551"/>
        </w:trPr>
        <w:tc>
          <w:tcPr>
            <w:tcW w:w="406" w:type="dxa"/>
          </w:tcPr>
          <w:p w14:paraId="148FE220" w14:textId="77777777" w:rsidR="00A325FD" w:rsidRDefault="00A325FD" w:rsidP="00C70A8F">
            <w:pPr>
              <w:pStyle w:val="TableParagraph"/>
              <w:ind w:left="0"/>
            </w:pPr>
          </w:p>
        </w:tc>
        <w:tc>
          <w:tcPr>
            <w:tcW w:w="8837" w:type="dxa"/>
          </w:tcPr>
          <w:p w14:paraId="6EE2AD8E" w14:textId="156B3F25" w:rsidR="00A325FD" w:rsidRDefault="00A325FD" w:rsidP="00C70A8F">
            <w:pPr>
              <w:pStyle w:val="TableParagraph"/>
              <w:spacing w:before="4" w:line="264" w:lineRule="exact"/>
              <w:ind w:right="1098"/>
            </w:pPr>
            <w:r>
              <w:t xml:space="preserve">Cardholders reconcile the monthly Visa statement to their transaction log, investigate and resolve any discrepancies, sign and date the log and statement, and provide all documentation to their </w:t>
            </w:r>
            <w:proofErr w:type="spellStart"/>
            <w:r>
              <w:t>pcard</w:t>
            </w:r>
            <w:proofErr w:type="spellEnd"/>
            <w:r>
              <w:t xml:space="preserve"> supervisor timely. </w:t>
            </w:r>
          </w:p>
        </w:tc>
      </w:tr>
      <w:tr w:rsidR="002C3D55" w14:paraId="035BF860" w14:textId="77777777" w:rsidTr="00C70A8F">
        <w:trPr>
          <w:trHeight w:val="551"/>
        </w:trPr>
        <w:tc>
          <w:tcPr>
            <w:tcW w:w="406" w:type="dxa"/>
          </w:tcPr>
          <w:p w14:paraId="5A39BBE3" w14:textId="77777777" w:rsidR="002C3D55" w:rsidRDefault="002C3D55" w:rsidP="00C70A8F">
            <w:pPr>
              <w:pStyle w:val="TableParagraph"/>
              <w:ind w:left="0"/>
            </w:pPr>
          </w:p>
        </w:tc>
        <w:tc>
          <w:tcPr>
            <w:tcW w:w="8837" w:type="dxa"/>
          </w:tcPr>
          <w:p w14:paraId="40A2FC13" w14:textId="71190F69" w:rsidR="002C3D55" w:rsidRDefault="00A325FD" w:rsidP="00C70A8F">
            <w:pPr>
              <w:pStyle w:val="TableParagraph"/>
              <w:spacing w:before="4" w:line="264" w:lineRule="exact"/>
              <w:ind w:right="731"/>
            </w:pPr>
            <w:proofErr w:type="spellStart"/>
            <w:r>
              <w:t>Pcard</w:t>
            </w:r>
            <w:proofErr w:type="spellEnd"/>
            <w:r>
              <w:t xml:space="preserve"> supervisors complete a timely review of all purchases to ensure the appropriateness of goods/services purchased, the completeness of the transaction log and supporting documentation, and the propriety of the </w:t>
            </w:r>
            <w:proofErr w:type="spellStart"/>
            <w:r>
              <w:t>chartstring</w:t>
            </w:r>
            <w:proofErr w:type="spellEnd"/>
            <w:r>
              <w:t xml:space="preserve">(s) to which the transactions are allocated. Supervisors acknowledge the reconciliation. </w:t>
            </w:r>
          </w:p>
        </w:tc>
      </w:tr>
      <w:tr w:rsidR="002C3D55" w14:paraId="42DCC071" w14:textId="77777777" w:rsidTr="00C70A8F">
        <w:trPr>
          <w:trHeight w:val="1103"/>
        </w:trPr>
        <w:tc>
          <w:tcPr>
            <w:tcW w:w="406" w:type="dxa"/>
          </w:tcPr>
          <w:p w14:paraId="72A3D3EC" w14:textId="77777777" w:rsidR="002C3D55" w:rsidRDefault="002C3D55" w:rsidP="00C70A8F">
            <w:pPr>
              <w:pStyle w:val="TableParagraph"/>
              <w:ind w:left="0"/>
            </w:pPr>
          </w:p>
        </w:tc>
        <w:tc>
          <w:tcPr>
            <w:tcW w:w="8837" w:type="dxa"/>
          </w:tcPr>
          <w:p w14:paraId="2D7EFCEE" w14:textId="77777777" w:rsidR="002C3D55" w:rsidRDefault="003B4D65" w:rsidP="00C70A8F">
            <w:pPr>
              <w:pStyle w:val="TableParagraph"/>
              <w:ind w:right="226"/>
              <w:jc w:val="both"/>
            </w:pPr>
            <w:r>
              <w:t>If no purchases are made, the supervisor should receive a log marked “No Activity” and should ensure there were no purchases by reviewing the PS report maintained in the log. The report should indicate there were no</w:t>
            </w:r>
          </w:p>
          <w:p w14:paraId="44DB6E96" w14:textId="77777777" w:rsidR="002C3D55" w:rsidRDefault="003B4D65" w:rsidP="00C70A8F">
            <w:pPr>
              <w:pStyle w:val="TableParagraph"/>
              <w:spacing w:before="5"/>
              <w:jc w:val="both"/>
            </w:pPr>
            <w:r>
              <w:t>purchases for the month.</w:t>
            </w:r>
          </w:p>
        </w:tc>
      </w:tr>
      <w:tr w:rsidR="00C70A8F" w14:paraId="77D8C8B4" w14:textId="77777777" w:rsidTr="00C70A8F">
        <w:trPr>
          <w:trHeight w:val="1103"/>
        </w:trPr>
        <w:tc>
          <w:tcPr>
            <w:tcW w:w="406" w:type="dxa"/>
          </w:tcPr>
          <w:p w14:paraId="4ED7F7B2" w14:textId="77777777" w:rsidR="00C70A8F" w:rsidRDefault="00C70A8F" w:rsidP="00C70A8F">
            <w:pPr>
              <w:pStyle w:val="TableParagraph"/>
              <w:ind w:left="0"/>
            </w:pPr>
          </w:p>
        </w:tc>
        <w:tc>
          <w:tcPr>
            <w:tcW w:w="8837" w:type="dxa"/>
          </w:tcPr>
          <w:p w14:paraId="4E463E81" w14:textId="761A0783" w:rsidR="00C70A8F" w:rsidRDefault="00C70A8F" w:rsidP="00C70A8F">
            <w:pPr>
              <w:pStyle w:val="TableParagraph"/>
              <w:ind w:right="226"/>
              <w:jc w:val="both"/>
            </w:pPr>
            <w:r>
              <w:t xml:space="preserve">If unsuccessful in obtaining all documentation for the Cardholder in a timely manner, the </w:t>
            </w:r>
            <w:proofErr w:type="spellStart"/>
            <w:r>
              <w:t>Pcard</w:t>
            </w:r>
            <w:proofErr w:type="spellEnd"/>
            <w:r>
              <w:t xml:space="preserve"> Supervisor notifies the Purchasing Card Program Administrator in the Procurement Department. </w:t>
            </w:r>
          </w:p>
        </w:tc>
      </w:tr>
    </w:tbl>
    <w:p w14:paraId="0D0B940D" w14:textId="6232F488" w:rsidR="002C3D55" w:rsidRDefault="00C70A8F">
      <w:pPr>
        <w:spacing w:before="4"/>
        <w:rPr>
          <w:sz w:val="20"/>
        </w:rPr>
      </w:pPr>
      <w:r>
        <w:rPr>
          <w:sz w:val="20"/>
        </w:rPr>
        <w:br w:type="textWrapping" w:clear="all"/>
      </w:r>
    </w:p>
    <w:tbl>
      <w:tblPr>
        <w:tblW w:w="888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8477"/>
      </w:tblGrid>
      <w:tr w:rsidR="00042D3B" w14:paraId="2463C946" w14:textId="77777777" w:rsidTr="00C70A8F">
        <w:trPr>
          <w:trHeight w:val="353"/>
        </w:trPr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BF3C5" w14:textId="77777777" w:rsidR="00042D3B" w:rsidRPr="00042D3B" w:rsidRDefault="00042D3B" w:rsidP="00BF4708">
            <w:pPr>
              <w:pStyle w:val="TableParagraph"/>
              <w:ind w:left="0"/>
              <w:rPr>
                <w:b/>
                <w:sz w:val="20"/>
              </w:rPr>
            </w:pPr>
          </w:p>
          <w:p w14:paraId="6D98A12B" w14:textId="77777777" w:rsidR="00042D3B" w:rsidRPr="00042D3B" w:rsidRDefault="00042D3B" w:rsidP="00BF4708">
            <w:pPr>
              <w:pStyle w:val="TableParagraph"/>
              <w:ind w:left="0"/>
              <w:rPr>
                <w:b/>
                <w:sz w:val="20"/>
              </w:rPr>
            </w:pPr>
          </w:p>
        </w:tc>
        <w:tc>
          <w:tcPr>
            <w:tcW w:w="8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6DB82" w14:textId="77777777" w:rsidR="00042D3B" w:rsidRPr="00042D3B" w:rsidRDefault="00042D3B" w:rsidP="00BF4708">
            <w:pPr>
              <w:pStyle w:val="TableParagraph"/>
              <w:spacing w:before="9" w:line="268" w:lineRule="exact"/>
              <w:rPr>
                <w:b/>
                <w:sz w:val="24"/>
              </w:rPr>
            </w:pPr>
          </w:p>
          <w:p w14:paraId="5997CC1D" w14:textId="77777777" w:rsidR="00042D3B" w:rsidRPr="00042D3B" w:rsidRDefault="00042D3B" w:rsidP="00BF4708">
            <w:pPr>
              <w:pStyle w:val="TableParagraph"/>
              <w:spacing w:before="9" w:line="268" w:lineRule="exact"/>
              <w:rPr>
                <w:b/>
                <w:sz w:val="24"/>
              </w:rPr>
            </w:pPr>
          </w:p>
          <w:p w14:paraId="457FB67E" w14:textId="77777777" w:rsidR="00042D3B" w:rsidRPr="00042D3B" w:rsidRDefault="00042D3B" w:rsidP="00BF4708">
            <w:pPr>
              <w:pStyle w:val="TableParagraph"/>
              <w:spacing w:before="9"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  <w:r w:rsidRPr="00042D3B">
              <w:rPr>
                <w:b/>
                <w:sz w:val="24"/>
              </w:rPr>
              <w:t xml:space="preserve">For a complete list of rules and regulations please see the P-card User’s Guide located on the UMBC Procurement and Strategic Sourcing website:   </w:t>
            </w:r>
            <w:hyperlink r:id="rId6" w:history="1">
              <w:r w:rsidRPr="00042D3B">
                <w:rPr>
                  <w:rStyle w:val="Hyperlink"/>
                  <w:b/>
                  <w:sz w:val="24"/>
                </w:rPr>
                <w:t>https://procurement.umbc.edu/</w:t>
              </w:r>
            </w:hyperlink>
          </w:p>
          <w:p w14:paraId="110FFD37" w14:textId="77777777" w:rsidR="00042D3B" w:rsidRPr="00042D3B" w:rsidRDefault="00042D3B" w:rsidP="00BF4708">
            <w:pPr>
              <w:pStyle w:val="TableParagraph"/>
              <w:spacing w:before="9" w:line="268" w:lineRule="exact"/>
              <w:rPr>
                <w:b/>
                <w:sz w:val="24"/>
              </w:rPr>
            </w:pPr>
          </w:p>
        </w:tc>
      </w:tr>
    </w:tbl>
    <w:p w14:paraId="6B699379" w14:textId="77777777" w:rsidR="002C3D55" w:rsidRDefault="002C3D55">
      <w:pPr>
        <w:spacing w:line="251" w:lineRule="exact"/>
        <w:sectPr w:rsidR="002C3D55" w:rsidSect="00C70A8F">
          <w:headerReference w:type="default" r:id="rId7"/>
          <w:footerReference w:type="default" r:id="rId8"/>
          <w:type w:val="continuous"/>
          <w:pgSz w:w="12240" w:h="15840"/>
          <w:pgMar w:top="1440" w:right="1080" w:bottom="1440" w:left="1080" w:header="725" w:footer="981" w:gutter="0"/>
          <w:pgNumType w:start="1"/>
          <w:cols w:space="720"/>
          <w:docGrid w:linePitch="299"/>
        </w:sectPr>
      </w:pPr>
    </w:p>
    <w:p w14:paraId="3FE9F23F" w14:textId="77777777" w:rsidR="003B4D65" w:rsidRDefault="003B4D65"/>
    <w:sectPr w:rsidR="003B4D65" w:rsidSect="00BF4708">
      <w:headerReference w:type="default" r:id="rId9"/>
      <w:pgSz w:w="12240" w:h="15840"/>
      <w:pgMar w:top="1530" w:right="1720" w:bottom="1180" w:left="1580" w:header="725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B41EE" w14:textId="77777777" w:rsidR="00D4601F" w:rsidRDefault="00D4601F">
      <w:r>
        <w:separator/>
      </w:r>
    </w:p>
  </w:endnote>
  <w:endnote w:type="continuationSeparator" w:id="0">
    <w:p w14:paraId="1BAC4320" w14:textId="77777777" w:rsidR="00D4601F" w:rsidRDefault="00D4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B2E52" w14:textId="77777777" w:rsidR="002C3D55" w:rsidRDefault="00D4601F">
    <w:pPr>
      <w:pStyle w:val="BodyText"/>
      <w:spacing w:line="14" w:lineRule="auto"/>
      <w:rPr>
        <w:b w:val="0"/>
        <w:i w:val="0"/>
        <w:sz w:val="20"/>
      </w:rPr>
    </w:pPr>
    <w:r>
      <w:pict w14:anchorId="6215D54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731.95pt;width:167.5pt;height:23.9pt;z-index:-6352;mso-position-horizontal-relative:page;mso-position-vertical-relative:page" filled="f" stroked="f">
          <v:textbox inset="0,0,0,0">
            <w:txbxContent>
              <w:p w14:paraId="31AA662A" w14:textId="77777777" w:rsidR="002C3D55" w:rsidRDefault="00042D3B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Checklist</w:t>
                </w:r>
                <w:r w:rsidR="00BF4708">
                  <w:rPr>
                    <w:sz w:val="16"/>
                  </w:rPr>
                  <w:t>2020</w:t>
                </w:r>
              </w:p>
              <w:p w14:paraId="2CC05679" w14:textId="77777777" w:rsidR="002C3D55" w:rsidRDefault="003B4D65">
                <w:pPr>
                  <w:spacing w:before="7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I-Drive/MAS/</w:t>
                </w:r>
                <w:proofErr w:type="spellStart"/>
                <w:r w:rsidR="00BF4708">
                  <w:rPr>
                    <w:sz w:val="16"/>
                  </w:rPr>
                  <w:t>CriticalControlChecklist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C85473B">
        <v:shape id="_x0000_s2049" type="#_x0000_t202" style="position:absolute;margin-left:281.15pt;margin-top:741.5pt;width:31.05pt;height:15.3pt;z-index:-6328;mso-position-horizontal-relative:page;mso-position-vertical-relative:page" filled="f" stroked="f">
          <v:textbox inset="0,0,0,0">
            <w:txbxContent>
              <w:p w14:paraId="5E28F622" w14:textId="77777777" w:rsidR="002C3D55" w:rsidRDefault="003B4D65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42D3B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sz w:val="24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B1C70" w14:textId="77777777" w:rsidR="00D4601F" w:rsidRDefault="00D4601F">
      <w:r>
        <w:separator/>
      </w:r>
    </w:p>
  </w:footnote>
  <w:footnote w:type="continuationSeparator" w:id="0">
    <w:p w14:paraId="10B974E1" w14:textId="77777777" w:rsidR="00D4601F" w:rsidRDefault="00D46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BA7EA" w14:textId="77777777" w:rsidR="002C3D55" w:rsidRDefault="00D4601F">
    <w:pPr>
      <w:pStyle w:val="BodyText"/>
      <w:spacing w:line="14" w:lineRule="auto"/>
      <w:rPr>
        <w:b w:val="0"/>
        <w:i w:val="0"/>
        <w:sz w:val="20"/>
      </w:rPr>
    </w:pPr>
    <w:r>
      <w:pict w14:anchorId="319E5A6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pt;margin-top:11.25pt;width:313pt;height:63.75pt;z-index:-6376;mso-position-horizontal-relative:page;mso-position-vertical-relative:page" filled="f" stroked="f">
          <v:textbox style="mso-next-textbox:#_x0000_s2051" inset="0,0,0,0">
            <w:txbxContent>
              <w:p w14:paraId="08CE6F91" w14:textId="77777777" w:rsidR="00BF4708" w:rsidRDefault="00BF4708">
                <w:pPr>
                  <w:spacing w:line="275" w:lineRule="exact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99021" w14:textId="77777777" w:rsidR="00C70A8F" w:rsidRDefault="00C70A8F">
    <w:pPr>
      <w:pStyle w:val="BodyText"/>
      <w:spacing w:line="14" w:lineRule="auto"/>
      <w:rPr>
        <w:b w:val="0"/>
        <w:i w:val="0"/>
        <w:sz w:val="20"/>
      </w:rPr>
    </w:pPr>
    <w:r>
      <w:pict w14:anchorId="69186465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9pt;margin-top:11.25pt;width:313pt;height:63.75pt;z-index:-4280;mso-position-horizontal-relative:page;mso-position-vertical-relative:page" filled="f" stroked="f">
          <v:textbox style="mso-next-textbox:#_x0000_s2054" inset="0,0,0,0">
            <w:txbxContent>
              <w:p w14:paraId="67D07279" w14:textId="77777777" w:rsidR="00C70A8F" w:rsidRDefault="00C70A8F">
                <w:pPr>
                  <w:spacing w:line="275" w:lineRule="exact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D55"/>
    <w:rsid w:val="00042D3B"/>
    <w:rsid w:val="00072C32"/>
    <w:rsid w:val="00223FD4"/>
    <w:rsid w:val="002C3D55"/>
    <w:rsid w:val="00385D46"/>
    <w:rsid w:val="003B4D65"/>
    <w:rsid w:val="003E421C"/>
    <w:rsid w:val="004C5147"/>
    <w:rsid w:val="004D7CF1"/>
    <w:rsid w:val="00536E9B"/>
    <w:rsid w:val="00A325FD"/>
    <w:rsid w:val="00BF4708"/>
    <w:rsid w:val="00C70A8F"/>
    <w:rsid w:val="00D4601F"/>
    <w:rsid w:val="00D92237"/>
    <w:rsid w:val="00D95EB4"/>
    <w:rsid w:val="0AF480F4"/>
    <w:rsid w:val="3F7D4869"/>
    <w:rsid w:val="45FEFE4C"/>
    <w:rsid w:val="51C449BE"/>
    <w:rsid w:val="5A21CEC3"/>
    <w:rsid w:val="6462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E6D5430"/>
  <w15:docId w15:val="{ACBA06EC-E127-4D70-B544-F54578E2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styleId="Hyperlink">
    <w:name w:val="Hyperlink"/>
    <w:basedOn w:val="DefaultParagraphFont"/>
    <w:uiPriority w:val="99"/>
    <w:unhideWhenUsed/>
    <w:rsid w:val="00BF47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4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70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F4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708"/>
    <w:rPr>
      <w:rFonts w:ascii="Times New Roman" w:eastAsia="Times New Roman" w:hAnsi="Times New Roman" w:cs="Times New Roman"/>
      <w:lang w:bidi="en-US"/>
    </w:rPr>
  </w:style>
  <w:style w:type="paragraph" w:styleId="Revision">
    <w:name w:val="Revision"/>
    <w:hidden/>
    <w:uiPriority w:val="99"/>
    <w:semiHidden/>
    <w:rsid w:val="00072C32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2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37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urement.umbc.ed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</vt:lpstr>
    </vt:vector>
  </TitlesOfParts>
  <Company>UMBC DoIT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</dc:title>
  <dc:creator>Sharon Doherty-Ritter</dc:creator>
  <cp:lastModifiedBy>Megan Cherry</cp:lastModifiedBy>
  <cp:revision>14</cp:revision>
  <dcterms:created xsi:type="dcterms:W3CDTF">2020-07-09T16:24:00Z</dcterms:created>
  <dcterms:modified xsi:type="dcterms:W3CDTF">2023-03-15T15:29:00Z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2020-07-09T00:00:00Z</vt:filetime>
  </property>
</Properties>
</file>